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4" w:rsidRPr="007F135A" w:rsidRDefault="00280147" w:rsidP="000A1B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  <w:lang w:val="en-GB"/>
        </w:rPr>
      </w:pPr>
      <w:r w:rsidRPr="007F135A">
        <w:rPr>
          <w:rFonts w:ascii="Times New Roman" w:hAnsi="Times New Roman" w:cs="Times New Roman"/>
          <w:b/>
          <w:sz w:val="18"/>
          <w:szCs w:val="18"/>
          <w:lang w:val="en-GB"/>
        </w:rPr>
        <w:t>Transparenţa veniturilor salariale</w:t>
      </w:r>
      <w:r w:rsidR="000A1BF4" w:rsidRPr="007F135A">
        <w:rPr>
          <w:rFonts w:ascii="Times New Roman" w:hAnsi="Times New Roman" w:cs="Times New Roman"/>
          <w:b/>
          <w:sz w:val="18"/>
          <w:szCs w:val="18"/>
          <w:lang w:val="en-GB"/>
        </w:rPr>
        <w:t xml:space="preserve"> la </w:t>
      </w:r>
      <w:r w:rsidR="00A309C6" w:rsidRPr="007F135A">
        <w:rPr>
          <w:rFonts w:ascii="Times New Roman" w:hAnsi="Times New Roman" w:cs="Times New Roman"/>
          <w:b/>
          <w:sz w:val="18"/>
          <w:szCs w:val="18"/>
          <w:lang w:val="en-GB"/>
        </w:rPr>
        <w:t>0</w:t>
      </w:r>
      <w:r w:rsidR="00BC75C1" w:rsidRPr="007F135A">
        <w:rPr>
          <w:rFonts w:ascii="Times New Roman" w:hAnsi="Times New Roman" w:cs="Times New Roman"/>
          <w:b/>
          <w:sz w:val="18"/>
          <w:szCs w:val="18"/>
          <w:lang w:val="en-GB"/>
        </w:rPr>
        <w:t>9</w:t>
      </w:r>
      <w:r w:rsidR="00A309C6" w:rsidRPr="007F135A">
        <w:rPr>
          <w:rFonts w:ascii="Times New Roman" w:hAnsi="Times New Roman" w:cs="Times New Roman"/>
          <w:b/>
          <w:sz w:val="18"/>
          <w:szCs w:val="18"/>
          <w:lang w:val="en-GB"/>
        </w:rPr>
        <w:t>.2022</w:t>
      </w:r>
      <w:r w:rsidR="00495369" w:rsidRPr="007F135A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495369" w:rsidRPr="007F135A">
        <w:rPr>
          <w:rFonts w:ascii="Times New Roman" w:hAnsi="Times New Roman" w:cs="Times New Roman"/>
          <w:b/>
          <w:sz w:val="18"/>
          <w:szCs w:val="18"/>
          <w:vertAlign w:val="superscript"/>
          <w:lang w:val="en-GB"/>
        </w:rPr>
        <w:t>1)</w:t>
      </w:r>
    </w:p>
    <w:tbl>
      <w:tblPr>
        <w:tblStyle w:val="TableGrid"/>
        <w:tblpPr w:leftFromText="180" w:rightFromText="180" w:vertAnchor="text" w:horzAnchor="margin" w:tblpXSpec="center" w:tblpY="161"/>
        <w:tblW w:w="10818" w:type="dxa"/>
        <w:tblLayout w:type="fixed"/>
        <w:tblLook w:val="04A0"/>
      </w:tblPr>
      <w:tblGrid>
        <w:gridCol w:w="558"/>
        <w:gridCol w:w="1440"/>
        <w:gridCol w:w="900"/>
        <w:gridCol w:w="720"/>
        <w:gridCol w:w="630"/>
        <w:gridCol w:w="1260"/>
        <w:gridCol w:w="1260"/>
        <w:gridCol w:w="1440"/>
        <w:gridCol w:w="1350"/>
        <w:gridCol w:w="1260"/>
      </w:tblGrid>
      <w:tr w:rsidR="000A1BF4" w:rsidRPr="007F135A" w:rsidTr="003B4137">
        <w:trPr>
          <w:trHeight w:val="1104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Nr. crt.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Funcţia contractuală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Gradul/ treapta profesi-onală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Nivel studii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Nr. pos-turi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Salariul de bază </w:t>
            </w: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2)</w:t>
            </w:r>
          </w:p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(conf. art. 11 din Legea 153/2017)</w:t>
            </w:r>
          </w:p>
          <w:p w:rsidR="000A1BF4" w:rsidRPr="007F135A" w:rsidRDefault="000A1BF4" w:rsidP="009D2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 lei -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Spor de noapte </w:t>
            </w: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3)</w:t>
            </w:r>
          </w:p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(conf. art. 20 din Legea 153/2017)</w:t>
            </w:r>
          </w:p>
          <w:p w:rsidR="000A1BF4" w:rsidRPr="007F135A" w:rsidRDefault="000A1BF4" w:rsidP="00777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- </w:t>
            </w:r>
            <w:r w:rsidR="00777334"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procent</w:t>
            </w: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-</w:t>
            </w:r>
          </w:p>
        </w:tc>
        <w:tc>
          <w:tcPr>
            <w:tcW w:w="1440" w:type="dxa"/>
          </w:tcPr>
          <w:p w:rsidR="000A1BF4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Valoarea voucherelor de vacanţă</w:t>
            </w:r>
            <w:r w:rsidR="00176DF2"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176DF2" w:rsidRPr="007F13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4)</w:t>
            </w:r>
          </w:p>
          <w:p w:rsidR="00E40DDA" w:rsidRPr="00E40DDA" w:rsidRDefault="00E40DDA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(conf. art. 1 din OUG 8/2009)</w:t>
            </w:r>
          </w:p>
          <w:p w:rsidR="000A1BF4" w:rsidRPr="007F135A" w:rsidRDefault="000A1BF4" w:rsidP="009D2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 lei -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Indemnizația de hrană </w:t>
            </w: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5)</w:t>
            </w:r>
          </w:p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(conf. art. 18 din Legea 153/2017)</w:t>
            </w:r>
          </w:p>
          <w:p w:rsidR="000A1BF4" w:rsidRPr="007F135A" w:rsidRDefault="000A1BF4" w:rsidP="009D2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 lei/lună -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Spor CFP </w:t>
            </w: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6)</w:t>
            </w:r>
          </w:p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(conf. art. 15 din Legea 153/2017 )</w:t>
            </w:r>
          </w:p>
          <w:p w:rsidR="00E40DDA" w:rsidRDefault="00E40DDA" w:rsidP="009D2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0A1BF4" w:rsidRPr="007F135A" w:rsidRDefault="000A1BF4" w:rsidP="009D2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 lei/lună -</w:t>
            </w:r>
          </w:p>
        </w:tc>
      </w:tr>
      <w:tr w:rsidR="000A1BF4" w:rsidRPr="007F135A" w:rsidTr="003B4137">
        <w:trPr>
          <w:trHeight w:val="230"/>
        </w:trPr>
        <w:tc>
          <w:tcPr>
            <w:tcW w:w="10818" w:type="dxa"/>
            <w:gridSpan w:val="10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Funcţie contractuală de conducere</w:t>
            </w:r>
          </w:p>
        </w:tc>
      </w:tr>
      <w:tr w:rsidR="000A1BF4" w:rsidRPr="007F135A" w:rsidTr="003B4137">
        <w:trPr>
          <w:trHeight w:val="230"/>
        </w:trPr>
        <w:tc>
          <w:tcPr>
            <w:tcW w:w="10818" w:type="dxa"/>
            <w:gridSpan w:val="10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Conducere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Director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10.350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10818" w:type="dxa"/>
            <w:gridSpan w:val="10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Funcţii contractuale de execuţie</w:t>
            </w:r>
          </w:p>
        </w:tc>
      </w:tr>
      <w:tr w:rsidR="000A1BF4" w:rsidRPr="007F135A" w:rsidTr="003B4137">
        <w:trPr>
          <w:trHeight w:val="230"/>
        </w:trPr>
        <w:tc>
          <w:tcPr>
            <w:tcW w:w="10818" w:type="dxa"/>
            <w:gridSpan w:val="10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Compartiment Buget, Contabilitate, Resurse Umane şi Administrativ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Inspector de specialitate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00CD13CE"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CD13CE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7.905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Magaziner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4.583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Administrator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5.031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Administrator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4.674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558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44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Administrator</w:t>
            </w:r>
          </w:p>
        </w:tc>
        <w:tc>
          <w:tcPr>
            <w:tcW w:w="90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72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5.157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0A1BF4" w:rsidRPr="007F135A" w:rsidRDefault="00AF73CB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0A1BF4" w:rsidRPr="007F135A" w:rsidTr="003B4137">
        <w:trPr>
          <w:trHeight w:val="230"/>
        </w:trPr>
        <w:tc>
          <w:tcPr>
            <w:tcW w:w="10818" w:type="dxa"/>
            <w:gridSpan w:val="10"/>
          </w:tcPr>
          <w:p w:rsidR="000A1BF4" w:rsidRPr="007F135A" w:rsidRDefault="000A1BF4" w:rsidP="009D2E6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Compartiment Juridic şi Contracte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Inspector de specialitate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6.707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Consilier juridic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7.361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3E71D7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468</w:t>
            </w:r>
          </w:p>
        </w:tc>
      </w:tr>
      <w:tr w:rsidR="00AF73CB" w:rsidRPr="007F135A" w:rsidTr="003B4137">
        <w:trPr>
          <w:trHeight w:val="230"/>
        </w:trPr>
        <w:tc>
          <w:tcPr>
            <w:tcW w:w="10818" w:type="dxa"/>
            <w:gridSpan w:val="10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Compartiment de specialitate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5.971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6.427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6.270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6.270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5.687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5.971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5.687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5.687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6.588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AF73CB" w:rsidRPr="007F135A" w:rsidTr="003B4137">
        <w:trPr>
          <w:trHeight w:val="230"/>
        </w:trPr>
        <w:tc>
          <w:tcPr>
            <w:tcW w:w="558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Salvator montan</w:t>
            </w:r>
          </w:p>
        </w:tc>
        <w:tc>
          <w:tcPr>
            <w:tcW w:w="90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72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63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6.427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144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1.450</w:t>
            </w:r>
          </w:p>
        </w:tc>
        <w:tc>
          <w:tcPr>
            <w:tcW w:w="135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260" w:type="dxa"/>
          </w:tcPr>
          <w:p w:rsidR="00AF73CB" w:rsidRPr="007F135A" w:rsidRDefault="00AF73CB" w:rsidP="00AF73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135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</w:tbl>
    <w:p w:rsidR="00280147" w:rsidRPr="007F135A" w:rsidRDefault="00280147" w:rsidP="002801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280147" w:rsidRPr="007F135A" w:rsidRDefault="00280147" w:rsidP="002801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7F135A">
        <w:rPr>
          <w:rFonts w:ascii="Times New Roman" w:hAnsi="Times New Roman" w:cs="Times New Roman"/>
          <w:b/>
          <w:sz w:val="18"/>
          <w:szCs w:val="18"/>
          <w:lang w:val="en-GB"/>
        </w:rPr>
        <w:t>Director</w:t>
      </w:r>
      <w:r w:rsidRPr="007F135A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:rsidR="00280147" w:rsidRDefault="00280147" w:rsidP="002801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7F135A">
        <w:rPr>
          <w:rFonts w:ascii="Times New Roman" w:hAnsi="Times New Roman" w:cs="Times New Roman"/>
          <w:sz w:val="18"/>
          <w:szCs w:val="18"/>
          <w:lang w:val="en-GB"/>
        </w:rPr>
        <w:t>Mocanu Laurenţiu-Robert</w:t>
      </w:r>
    </w:p>
    <w:p w:rsidR="000A1BF4" w:rsidRPr="007F135A" w:rsidRDefault="000A1BF4" w:rsidP="000A1B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lang w:val="en-GB"/>
        </w:rPr>
        <w:t>_____________________</w:t>
      </w:r>
    </w:p>
    <w:p w:rsidR="000A1BF4" w:rsidRPr="007F135A" w:rsidRDefault="000A1BF4" w:rsidP="000A1B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Conform art. 33 din Legea-Cadru nr. 153 din 28 iunie 2017 privind salarizarea personalului plătit din fonduri publice: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lang w:val="en-GB"/>
        </w:rPr>
        <w:t>“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(1) Toate autorităţile şi instituţiile publice enumerate la art. 2 alin. (1) şi (3) vor publica la sediul propriu şi pe pagina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propr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ie de internet, în datele de 31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martie şi 30 septembrie ale fiecărui an, şi vor menţine publicată o listă a tuturor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funcţiilor din autorităţile sau instituţiile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publice respective ce intră în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categoria personalului plătit din fonduri publice,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cuprinzând următoarele: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a) salariul de bază, solda funcţiei de bază/salariul funcţiei de bază, indemnizaţia de încadrare sau indemnizaţia lunară,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după caz;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b) tipul, baza de calcul, cota procentuală, valoarea brută a sporurilor, compensaţiilor, adaosurilor, primelor şi premiilor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eligibile pentru fiecare funcţie, precum şi baza legală a acordării acestora;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c) valoarea anuală a voucherelor de vacanţă care urmează să fie acordate pentru o perioadă lucrată de un an, precum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şi baza legală a acordării acestora;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d) valoarea anuală a indemnizaţiei de hrană care urmează să fie acordată pentru o perioadă lucrată de un an, precum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şi baza legală a acordării acesteia;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e) orice alte drepturi în bani şi/sau în natură, dacă este cazul, precum şi baza legală a acordării acestora;</w:t>
      </w:r>
    </w:p>
    <w:p w:rsidR="00404508" w:rsidRPr="007F135A" w:rsidRDefault="00404508" w:rsidP="004045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f) orice informaţii cu privire la posibile limitări ale venitului salarial, precum şi baza legală a acestora.</w:t>
      </w:r>
      <w:r w:rsidRPr="007F135A">
        <w:rPr>
          <w:rFonts w:ascii="Times New Roman" w:hAnsi="Times New Roman" w:cs="Times New Roman"/>
          <w:i/>
          <w:sz w:val="16"/>
          <w:szCs w:val="16"/>
          <w:lang w:val="en-GB"/>
        </w:rPr>
        <w:t>”</w:t>
      </w:r>
    </w:p>
    <w:p w:rsidR="000A1BF4" w:rsidRPr="007F135A" w:rsidRDefault="000A1BF4" w:rsidP="000A1B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2)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Conform art. 7 lit. a) din Legea 153/2017, salariul de bază reprezintă suma de bani la care are dreptul lunar personalul plătit din fonduri publice, corespunzător funcţiei, gradului/treptei profesionale, gradaţiei, vechimii în specialitate. Salariul de bază se stabilește prin înmulţirea salariului de bază minim brut pe ţară garantat în plată stabilit prin HG nr. 4/2021 (în urma aprobării H CJ VN 28/2021) cu coeficienţii stabiliți prin H CJ VN nr. 137/2018 și cu cotele procentuale prevăzute la art. 10 din Legea nr. 153/2017, în funcție de vechimea în muncă a salariatului.</w:t>
      </w:r>
    </w:p>
    <w:p w:rsidR="000A1BF4" w:rsidRPr="007F135A" w:rsidRDefault="000A1BF4" w:rsidP="00C74C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3)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Conform art. 20 alin. 1 din Legea 153/2017, </w:t>
      </w:r>
      <w:r w:rsidR="00C74C8E" w:rsidRPr="007F135A">
        <w:rPr>
          <w:rFonts w:ascii="Times New Roman" w:hAnsi="Times New Roman" w:cs="Times New Roman"/>
          <w:sz w:val="16"/>
          <w:szCs w:val="16"/>
          <w:lang w:val="en-GB"/>
        </w:rPr>
        <w:t>“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>(1) Personalul care, potrivit programului normal de lucru, îşi desfăşoară a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ctivitatea între orele 22,00 şi 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>6,00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>beneficiază, pentru orele lucrate în acest interval, de un spor pentru munca prestată în timpul nopţii de 25% din salariul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>de bază, solda de funcţie/salariul de funcţie, indemnizaţia de încadrare, dacă timpul astfel lucrat reprezintă cel puţin 3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C74C8E" w:rsidRPr="007F135A">
        <w:rPr>
          <w:rFonts w:ascii="Times New Roman" w:hAnsi="Times New Roman" w:cs="Times New Roman"/>
          <w:i/>
          <w:sz w:val="16"/>
          <w:szCs w:val="16"/>
          <w:lang w:val="en-GB"/>
        </w:rPr>
        <w:t>ore de noapte din timpul normal de lucru.</w:t>
      </w:r>
      <w:r w:rsidR="00C74C8E" w:rsidRPr="007F135A">
        <w:rPr>
          <w:rFonts w:ascii="Times New Roman" w:hAnsi="Times New Roman" w:cs="Times New Roman"/>
          <w:sz w:val="16"/>
          <w:szCs w:val="16"/>
          <w:lang w:val="en-GB"/>
        </w:rPr>
        <w:t>”</w:t>
      </w:r>
    </w:p>
    <w:p w:rsidR="000A1BF4" w:rsidRPr="007F135A" w:rsidRDefault="000A1BF4" w:rsidP="000352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4)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03529F"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Conform art. 1 alin. (2) din OUG 8/2009, instituţiile publice </w:t>
      </w:r>
      <w:r w:rsidR="0003529F" w:rsidRPr="007F135A">
        <w:rPr>
          <w:rFonts w:ascii="Times New Roman" w:hAnsi="Times New Roman" w:cs="Times New Roman"/>
          <w:sz w:val="16"/>
          <w:szCs w:val="16"/>
          <w:lang w:val="en-GB"/>
        </w:rPr>
        <w:t>acordă, anual, în perioada 1 ianuarie 2019-31</w:t>
      </w:r>
      <w:r w:rsidR="0003529F"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03529F" w:rsidRPr="007F135A">
        <w:rPr>
          <w:rFonts w:ascii="Times New Roman" w:hAnsi="Times New Roman" w:cs="Times New Roman"/>
          <w:sz w:val="16"/>
          <w:szCs w:val="16"/>
          <w:lang w:val="en-GB"/>
        </w:rPr>
        <w:t>decembrie 2026, vouchere de vacanţă în cuantum de 1.450 lei pentru un salariat.</w:t>
      </w:r>
    </w:p>
    <w:p w:rsidR="000A1BF4" w:rsidRPr="007F135A" w:rsidRDefault="000A1BF4" w:rsidP="000A1B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5)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Potrivit prevederilor art. 18 din Legea 153/2017, începând cu data de 1 decembrie 2018, se acordă obligatoriu, lunar, indemnizații de hrană reprezentând a 12-a parte din două salarii de bază minime brute pe țară garantate în plată. Indemnizațiile de hrană se acordă proporțional cu timpul efectiv lucrat în luna anterioară.</w:t>
      </w:r>
      <w:r w:rsidR="00495369"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În anul 2022, valoarea lunară a indemnizaţiei de hrană se menţine la nivelul din anul 2021.</w:t>
      </w:r>
    </w:p>
    <w:p w:rsidR="001F0C6D" w:rsidRPr="007F135A" w:rsidRDefault="000A1BF4" w:rsidP="00C602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F135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6)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C60291" w:rsidRPr="007F135A">
        <w:rPr>
          <w:rFonts w:ascii="Times New Roman" w:hAnsi="Times New Roman" w:cs="Times New Roman"/>
          <w:sz w:val="16"/>
          <w:szCs w:val="16"/>
          <w:lang w:val="en-GB"/>
        </w:rPr>
        <w:t>Conform</w:t>
      </w:r>
      <w:r w:rsidRPr="007F135A">
        <w:rPr>
          <w:rFonts w:ascii="Times New Roman" w:hAnsi="Times New Roman" w:cs="Times New Roman"/>
          <w:sz w:val="16"/>
          <w:szCs w:val="16"/>
          <w:lang w:val="en-GB"/>
        </w:rPr>
        <w:t xml:space="preserve"> art. 15 din Legea 153/2017, </w:t>
      </w:r>
      <w:r w:rsidR="00C60291" w:rsidRPr="007F135A">
        <w:rPr>
          <w:rFonts w:ascii="Times New Roman" w:hAnsi="Times New Roman" w:cs="Times New Roman"/>
          <w:sz w:val="16"/>
          <w:szCs w:val="16"/>
          <w:lang w:val="en-GB"/>
        </w:rPr>
        <w:t>“</w:t>
      </w:r>
      <w:r w:rsidR="00C60291" w:rsidRPr="007F135A">
        <w:rPr>
          <w:rFonts w:ascii="Times New Roman" w:hAnsi="Times New Roman" w:cs="Times New Roman"/>
          <w:i/>
          <w:sz w:val="16"/>
          <w:szCs w:val="16"/>
          <w:lang w:val="en-GB"/>
        </w:rPr>
        <w:t>Personalul care exercită activitatea de control financiar preventiv, pe perioada de exercitare a a</w:t>
      </w:r>
      <w:r w:rsidR="00C60291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cesteia, </w:t>
      </w:r>
      <w:r w:rsidR="00C60291" w:rsidRPr="007F135A">
        <w:rPr>
          <w:rFonts w:ascii="Times New Roman" w:hAnsi="Times New Roman" w:cs="Times New Roman"/>
          <w:i/>
          <w:sz w:val="16"/>
          <w:szCs w:val="16"/>
          <w:lang w:val="en-GB"/>
        </w:rPr>
        <w:t>beneficiază de</w:t>
      </w:r>
      <w:r w:rsidR="00C60291" w:rsidRPr="007F135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C60291" w:rsidRPr="007F135A">
        <w:rPr>
          <w:rFonts w:ascii="Times New Roman" w:hAnsi="Times New Roman" w:cs="Times New Roman"/>
          <w:i/>
          <w:sz w:val="16"/>
          <w:szCs w:val="16"/>
          <w:lang w:val="en-GB"/>
        </w:rPr>
        <w:t>o majorare a salariului de bază cu 10%.</w:t>
      </w:r>
      <w:r w:rsidR="00C60291" w:rsidRPr="007F135A">
        <w:rPr>
          <w:rFonts w:ascii="Times New Roman" w:hAnsi="Times New Roman" w:cs="Times New Roman"/>
          <w:sz w:val="16"/>
          <w:szCs w:val="16"/>
          <w:lang w:val="en-GB"/>
        </w:rPr>
        <w:t>”</w:t>
      </w:r>
    </w:p>
    <w:sectPr w:rsidR="001F0C6D" w:rsidRPr="007F135A" w:rsidSect="008E18D8">
      <w:headerReference w:type="default" r:id="rId8"/>
      <w:footerReference w:type="default" r:id="rId9"/>
      <w:pgSz w:w="11906" w:h="16838"/>
      <w:pgMar w:top="1440" w:right="1080" w:bottom="1440" w:left="1106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99" w:rsidRDefault="00D71599" w:rsidP="007D64B7">
      <w:pPr>
        <w:spacing w:after="0" w:line="240" w:lineRule="auto"/>
      </w:pPr>
      <w:r>
        <w:separator/>
      </w:r>
    </w:p>
  </w:endnote>
  <w:endnote w:type="continuationSeparator" w:id="1">
    <w:p w:rsidR="00D71599" w:rsidRDefault="00D71599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1"/>
      <w:gridCol w:w="8907"/>
    </w:tblGrid>
    <w:tr w:rsidR="00B32D61" w:rsidRPr="000F1B3C" w:rsidTr="00B32D61">
      <w:tc>
        <w:tcPr>
          <w:tcW w:w="1031" w:type="dxa"/>
        </w:tcPr>
        <w:p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Milcov,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Focşani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>, jud.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Vrancea</w:t>
          </w:r>
          <w:r>
            <w:rPr>
              <w:rFonts w:ascii="Times New Roman" w:hAnsi="Times New Roman" w:cs="Times New Roman"/>
              <w:sz w:val="28"/>
              <w:szCs w:val="28"/>
            </w:rPr>
            <w:t>, România</w:t>
          </w:r>
        </w:p>
        <w:p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99" w:rsidRDefault="00D71599" w:rsidP="007D64B7">
      <w:pPr>
        <w:spacing w:after="0" w:line="240" w:lineRule="auto"/>
      </w:pPr>
      <w:r>
        <w:separator/>
      </w:r>
    </w:p>
  </w:footnote>
  <w:footnote w:type="continuationSeparator" w:id="1">
    <w:p w:rsidR="00D71599" w:rsidRDefault="00D71599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</w:p>
  <w:p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Vrancea</w:t>
    </w:r>
  </w:p>
  <w:p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 Public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Salvamont Vrancea</w:t>
    </w:r>
  </w:p>
  <w:p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4C6"/>
    <w:rsid w:val="00011412"/>
    <w:rsid w:val="00017F34"/>
    <w:rsid w:val="00025CBB"/>
    <w:rsid w:val="0003529F"/>
    <w:rsid w:val="00042F04"/>
    <w:rsid w:val="00056675"/>
    <w:rsid w:val="0009065A"/>
    <w:rsid w:val="000A1BF4"/>
    <w:rsid w:val="000A2D52"/>
    <w:rsid w:val="000B144E"/>
    <w:rsid w:val="000E614B"/>
    <w:rsid w:val="000E7F13"/>
    <w:rsid w:val="000F1B3C"/>
    <w:rsid w:val="0011089E"/>
    <w:rsid w:val="00153CC6"/>
    <w:rsid w:val="00157016"/>
    <w:rsid w:val="001608B9"/>
    <w:rsid w:val="00170B81"/>
    <w:rsid w:val="00176DF2"/>
    <w:rsid w:val="001810CC"/>
    <w:rsid w:val="00192334"/>
    <w:rsid w:val="001A30B2"/>
    <w:rsid w:val="001D0A78"/>
    <w:rsid w:val="001E0943"/>
    <w:rsid w:val="001E61CF"/>
    <w:rsid w:val="001E7DD3"/>
    <w:rsid w:val="001F0C09"/>
    <w:rsid w:val="001F0C6D"/>
    <w:rsid w:val="001F408D"/>
    <w:rsid w:val="0020008A"/>
    <w:rsid w:val="00215543"/>
    <w:rsid w:val="00217813"/>
    <w:rsid w:val="00222C71"/>
    <w:rsid w:val="0022309C"/>
    <w:rsid w:val="00232F2E"/>
    <w:rsid w:val="00241036"/>
    <w:rsid w:val="00242637"/>
    <w:rsid w:val="002501B7"/>
    <w:rsid w:val="002779B1"/>
    <w:rsid w:val="00280147"/>
    <w:rsid w:val="00292C8A"/>
    <w:rsid w:val="002A5D71"/>
    <w:rsid w:val="002B2509"/>
    <w:rsid w:val="002D133C"/>
    <w:rsid w:val="002D21BC"/>
    <w:rsid w:val="002F416A"/>
    <w:rsid w:val="0030439C"/>
    <w:rsid w:val="003055C2"/>
    <w:rsid w:val="00313F1C"/>
    <w:rsid w:val="003238D3"/>
    <w:rsid w:val="0032445D"/>
    <w:rsid w:val="0033275E"/>
    <w:rsid w:val="00333041"/>
    <w:rsid w:val="003421FF"/>
    <w:rsid w:val="00347DF2"/>
    <w:rsid w:val="00354104"/>
    <w:rsid w:val="003578CD"/>
    <w:rsid w:val="0038122B"/>
    <w:rsid w:val="00397A4E"/>
    <w:rsid w:val="003B4137"/>
    <w:rsid w:val="003B4BA3"/>
    <w:rsid w:val="003C27F7"/>
    <w:rsid w:val="003E71D7"/>
    <w:rsid w:val="00404508"/>
    <w:rsid w:val="0041262F"/>
    <w:rsid w:val="00430D49"/>
    <w:rsid w:val="00431116"/>
    <w:rsid w:val="004440B9"/>
    <w:rsid w:val="00453F83"/>
    <w:rsid w:val="00457E50"/>
    <w:rsid w:val="0048211A"/>
    <w:rsid w:val="004858D8"/>
    <w:rsid w:val="00495369"/>
    <w:rsid w:val="004D04E8"/>
    <w:rsid w:val="004D4921"/>
    <w:rsid w:val="004E380D"/>
    <w:rsid w:val="004E6A2E"/>
    <w:rsid w:val="0050271C"/>
    <w:rsid w:val="0051215B"/>
    <w:rsid w:val="005131C0"/>
    <w:rsid w:val="005171EF"/>
    <w:rsid w:val="00527685"/>
    <w:rsid w:val="00540557"/>
    <w:rsid w:val="00552A61"/>
    <w:rsid w:val="00566761"/>
    <w:rsid w:val="00567CC2"/>
    <w:rsid w:val="0057597D"/>
    <w:rsid w:val="005773D5"/>
    <w:rsid w:val="005867D2"/>
    <w:rsid w:val="00591B28"/>
    <w:rsid w:val="005A0481"/>
    <w:rsid w:val="005B39F8"/>
    <w:rsid w:val="005B6726"/>
    <w:rsid w:val="005D1140"/>
    <w:rsid w:val="005E5C22"/>
    <w:rsid w:val="00616CAC"/>
    <w:rsid w:val="00630578"/>
    <w:rsid w:val="00650E0E"/>
    <w:rsid w:val="006567DE"/>
    <w:rsid w:val="00684DE8"/>
    <w:rsid w:val="006A537A"/>
    <w:rsid w:val="006D0908"/>
    <w:rsid w:val="006D3282"/>
    <w:rsid w:val="006D5862"/>
    <w:rsid w:val="006D5908"/>
    <w:rsid w:val="006E5979"/>
    <w:rsid w:val="00705648"/>
    <w:rsid w:val="00726D52"/>
    <w:rsid w:val="007415FD"/>
    <w:rsid w:val="00742955"/>
    <w:rsid w:val="0075785C"/>
    <w:rsid w:val="007743EE"/>
    <w:rsid w:val="00777334"/>
    <w:rsid w:val="00791F81"/>
    <w:rsid w:val="007A324E"/>
    <w:rsid w:val="007D64B7"/>
    <w:rsid w:val="007E23AC"/>
    <w:rsid w:val="007E5068"/>
    <w:rsid w:val="007F0545"/>
    <w:rsid w:val="007F135A"/>
    <w:rsid w:val="007F6D08"/>
    <w:rsid w:val="00803151"/>
    <w:rsid w:val="00803622"/>
    <w:rsid w:val="00807BAA"/>
    <w:rsid w:val="00814AC5"/>
    <w:rsid w:val="008233BE"/>
    <w:rsid w:val="00823F33"/>
    <w:rsid w:val="008276B8"/>
    <w:rsid w:val="00841E98"/>
    <w:rsid w:val="00852733"/>
    <w:rsid w:val="00880036"/>
    <w:rsid w:val="00881B18"/>
    <w:rsid w:val="00896732"/>
    <w:rsid w:val="008A3AFE"/>
    <w:rsid w:val="008B4FBF"/>
    <w:rsid w:val="008B7167"/>
    <w:rsid w:val="008C30EF"/>
    <w:rsid w:val="008C483B"/>
    <w:rsid w:val="008D68FA"/>
    <w:rsid w:val="008D74DA"/>
    <w:rsid w:val="008E18D8"/>
    <w:rsid w:val="008E34C6"/>
    <w:rsid w:val="008E60B1"/>
    <w:rsid w:val="008E6DFC"/>
    <w:rsid w:val="00900876"/>
    <w:rsid w:val="0091700F"/>
    <w:rsid w:val="00920571"/>
    <w:rsid w:val="00926142"/>
    <w:rsid w:val="009272F4"/>
    <w:rsid w:val="009315D4"/>
    <w:rsid w:val="00944701"/>
    <w:rsid w:val="009456E7"/>
    <w:rsid w:val="009461C1"/>
    <w:rsid w:val="00946EA0"/>
    <w:rsid w:val="00952BC1"/>
    <w:rsid w:val="0098614B"/>
    <w:rsid w:val="00991EF7"/>
    <w:rsid w:val="009A74E8"/>
    <w:rsid w:val="009B71D6"/>
    <w:rsid w:val="009C2F96"/>
    <w:rsid w:val="009E7EDD"/>
    <w:rsid w:val="009F68D1"/>
    <w:rsid w:val="00A023CB"/>
    <w:rsid w:val="00A06904"/>
    <w:rsid w:val="00A25C0C"/>
    <w:rsid w:val="00A26586"/>
    <w:rsid w:val="00A27356"/>
    <w:rsid w:val="00A27831"/>
    <w:rsid w:val="00A309C6"/>
    <w:rsid w:val="00A32A45"/>
    <w:rsid w:val="00A36E4E"/>
    <w:rsid w:val="00A370D9"/>
    <w:rsid w:val="00A51669"/>
    <w:rsid w:val="00A77868"/>
    <w:rsid w:val="00A83D5F"/>
    <w:rsid w:val="00A961F4"/>
    <w:rsid w:val="00A97C12"/>
    <w:rsid w:val="00AC5C90"/>
    <w:rsid w:val="00AD122D"/>
    <w:rsid w:val="00AD693D"/>
    <w:rsid w:val="00AF73CB"/>
    <w:rsid w:val="00AF75FF"/>
    <w:rsid w:val="00B14BFD"/>
    <w:rsid w:val="00B24D27"/>
    <w:rsid w:val="00B30AB3"/>
    <w:rsid w:val="00B32D61"/>
    <w:rsid w:val="00B445BC"/>
    <w:rsid w:val="00B50C70"/>
    <w:rsid w:val="00B66961"/>
    <w:rsid w:val="00B83D76"/>
    <w:rsid w:val="00B929A6"/>
    <w:rsid w:val="00B972EC"/>
    <w:rsid w:val="00BB2EE8"/>
    <w:rsid w:val="00BB7EDC"/>
    <w:rsid w:val="00BC14C7"/>
    <w:rsid w:val="00BC2846"/>
    <w:rsid w:val="00BC75C1"/>
    <w:rsid w:val="00BD000A"/>
    <w:rsid w:val="00BD553B"/>
    <w:rsid w:val="00BE44C9"/>
    <w:rsid w:val="00BF1E04"/>
    <w:rsid w:val="00BF6911"/>
    <w:rsid w:val="00C45DAF"/>
    <w:rsid w:val="00C467E3"/>
    <w:rsid w:val="00C51648"/>
    <w:rsid w:val="00C5343A"/>
    <w:rsid w:val="00C60291"/>
    <w:rsid w:val="00C711EA"/>
    <w:rsid w:val="00C74C8E"/>
    <w:rsid w:val="00C84F68"/>
    <w:rsid w:val="00C85E8C"/>
    <w:rsid w:val="00C927A3"/>
    <w:rsid w:val="00CA6239"/>
    <w:rsid w:val="00CD13CE"/>
    <w:rsid w:val="00CE05DC"/>
    <w:rsid w:val="00D108B4"/>
    <w:rsid w:val="00D133ED"/>
    <w:rsid w:val="00D22896"/>
    <w:rsid w:val="00D2406D"/>
    <w:rsid w:val="00D32DCC"/>
    <w:rsid w:val="00D42EF3"/>
    <w:rsid w:val="00D47A37"/>
    <w:rsid w:val="00D50750"/>
    <w:rsid w:val="00D50F54"/>
    <w:rsid w:val="00D52630"/>
    <w:rsid w:val="00D71599"/>
    <w:rsid w:val="00D847DB"/>
    <w:rsid w:val="00D96F79"/>
    <w:rsid w:val="00D97800"/>
    <w:rsid w:val="00DC2538"/>
    <w:rsid w:val="00DF163B"/>
    <w:rsid w:val="00DF212D"/>
    <w:rsid w:val="00E00B13"/>
    <w:rsid w:val="00E03670"/>
    <w:rsid w:val="00E26A49"/>
    <w:rsid w:val="00E34974"/>
    <w:rsid w:val="00E40D43"/>
    <w:rsid w:val="00E40DDA"/>
    <w:rsid w:val="00E40F66"/>
    <w:rsid w:val="00E42274"/>
    <w:rsid w:val="00E442C3"/>
    <w:rsid w:val="00E45EF6"/>
    <w:rsid w:val="00E46FAA"/>
    <w:rsid w:val="00E81D4E"/>
    <w:rsid w:val="00E94708"/>
    <w:rsid w:val="00EA055F"/>
    <w:rsid w:val="00EA280A"/>
    <w:rsid w:val="00EA5AE0"/>
    <w:rsid w:val="00EB679F"/>
    <w:rsid w:val="00EC0380"/>
    <w:rsid w:val="00EC3F35"/>
    <w:rsid w:val="00ED081A"/>
    <w:rsid w:val="00ED1DCA"/>
    <w:rsid w:val="00EE241D"/>
    <w:rsid w:val="00EE2E71"/>
    <w:rsid w:val="00EE78BC"/>
    <w:rsid w:val="00EF0EB9"/>
    <w:rsid w:val="00EF4736"/>
    <w:rsid w:val="00EF675B"/>
    <w:rsid w:val="00F03FD2"/>
    <w:rsid w:val="00F12079"/>
    <w:rsid w:val="00F12EC9"/>
    <w:rsid w:val="00F16338"/>
    <w:rsid w:val="00F260BC"/>
    <w:rsid w:val="00F34850"/>
    <w:rsid w:val="00F406A8"/>
    <w:rsid w:val="00F41590"/>
    <w:rsid w:val="00F5146F"/>
    <w:rsid w:val="00F94797"/>
    <w:rsid w:val="00FC15C5"/>
    <w:rsid w:val="00FC53BA"/>
    <w:rsid w:val="00FC75A5"/>
    <w:rsid w:val="00FE0C6E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32A-1AE5-4F75-8704-F8D1A76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user</cp:lastModifiedBy>
  <cp:revision>13</cp:revision>
  <cp:lastPrinted>2022-03-21T13:15:00Z</cp:lastPrinted>
  <dcterms:created xsi:type="dcterms:W3CDTF">2022-09-09T06:09:00Z</dcterms:created>
  <dcterms:modified xsi:type="dcterms:W3CDTF">2022-09-09T06:33:00Z</dcterms:modified>
</cp:coreProperties>
</file>